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94" w:rsidRDefault="003D1194" w:rsidP="003D1194">
      <w:pPr>
        <w:pStyle w:val="Title"/>
        <w:rPr>
          <w:lang w:val="en-CA"/>
        </w:rPr>
      </w:pPr>
      <w:bookmarkStart w:id="0" w:name="_GoBack"/>
      <w:bookmarkEnd w:id="0"/>
      <w:r>
        <w:rPr>
          <w:lang w:val="en-CA"/>
        </w:rPr>
        <w:t>Winnipeg Public Library</w:t>
      </w:r>
    </w:p>
    <w:p w:rsidR="003D1194" w:rsidRDefault="003D1194" w:rsidP="003D1194">
      <w:pPr>
        <w:pStyle w:val="Title"/>
        <w:rPr>
          <w:lang w:val="en-CA"/>
        </w:rPr>
      </w:pPr>
      <w:r>
        <w:rPr>
          <w:lang w:val="en-CA"/>
        </w:rPr>
        <w:t>2019 annual Report</w:t>
      </w:r>
    </w:p>
    <w:p w:rsidR="003D1194" w:rsidRPr="003D1194" w:rsidRDefault="003D1194" w:rsidP="003D1194">
      <w:r w:rsidRPr="003D1194">
        <w:t>Winnipeg Public Library is in Treaty #1 Territory, the traditional lands of the Anishinaabe, Cree, and Dakota as well as the Birthplace of the Métis Nation and the Heart of the Métis Homeland.</w:t>
      </w:r>
    </w:p>
    <w:p w:rsidR="003D1194" w:rsidRPr="003D1194" w:rsidRDefault="003D1194" w:rsidP="003D1194">
      <w:pPr>
        <w:rPr>
          <w14:textOutline w14:w="9525" w14:cap="flat" w14:cmpd="sng" w14:algn="ctr">
            <w14:noFill/>
            <w14:prstDash w14:val="solid"/>
            <w14:round/>
          </w14:textOutline>
        </w:rPr>
      </w:pPr>
      <w:r w:rsidRPr="003D1194">
        <w:rPr>
          <w14:textOutline w14:w="9525" w14:cap="flat" w14:cmpd="sng" w14:algn="ctr">
            <w14:noFill/>
            <w14:prstDash w14:val="solid"/>
            <w14:round/>
          </w14:textOutline>
        </w:rPr>
        <w:t>Winnipeg Public Library continues to deliver cultural, technology, and literacy-based programs within the community.</w:t>
      </w:r>
    </w:p>
    <w:p w:rsidR="003D1194" w:rsidRDefault="00A707CD" w:rsidP="00A707CD">
      <w:pPr>
        <w:pStyle w:val="Heading1"/>
      </w:pPr>
      <w:r w:rsidRPr="001E2CB1">
        <w:t>Winnipeg Publi</w:t>
      </w:r>
      <w:r>
        <w:t>c Library by the numbers in 2019:</w:t>
      </w:r>
    </w:p>
    <w:p w:rsidR="00A707CD" w:rsidRPr="00A707CD" w:rsidRDefault="00A707CD" w:rsidP="00A707CD">
      <w:pPr>
        <w:pStyle w:val="ListParagraph"/>
        <w:numPr>
          <w:ilvl w:val="0"/>
          <w:numId w:val="1"/>
        </w:numPr>
        <w:rPr>
          <w:rFonts w:ascii="Arial" w:hAnsi="Arial" w:cs="Arial"/>
          <w:sz w:val="28"/>
          <w:szCs w:val="28"/>
        </w:rPr>
      </w:pPr>
      <w:r>
        <w:rPr>
          <w:rFonts w:ascii="Arial" w:hAnsi="Arial" w:cs="Arial"/>
          <w:sz w:val="28"/>
          <w:szCs w:val="28"/>
        </w:rPr>
        <w:t xml:space="preserve">20 public </w:t>
      </w:r>
      <w:proofErr w:type="spellStart"/>
      <w:r>
        <w:rPr>
          <w:rFonts w:ascii="Arial" w:hAnsi="Arial" w:cs="Arial"/>
          <w:sz w:val="28"/>
          <w:szCs w:val="28"/>
        </w:rPr>
        <w:t>librarys</w:t>
      </w:r>
      <w:proofErr w:type="spellEnd"/>
    </w:p>
    <w:p w:rsidR="00A707CD" w:rsidRPr="001E2CB1" w:rsidRDefault="00A707CD" w:rsidP="00A707CD">
      <w:pPr>
        <w:pStyle w:val="ListParagraph"/>
        <w:numPr>
          <w:ilvl w:val="0"/>
          <w:numId w:val="1"/>
        </w:numPr>
        <w:rPr>
          <w:rFonts w:ascii="Arial" w:hAnsi="Arial" w:cs="Arial"/>
          <w:sz w:val="28"/>
          <w:szCs w:val="28"/>
        </w:rPr>
      </w:pPr>
      <w:r w:rsidRPr="00560EDB">
        <w:rPr>
          <w:rFonts w:ascii="Arial" w:hAnsi="Arial" w:cs="Arial"/>
          <w:sz w:val="28"/>
          <w:szCs w:val="28"/>
          <w:lang w:val="en-CA"/>
        </w:rPr>
        <w:t>3</w:t>
      </w:r>
      <w:r>
        <w:rPr>
          <w:rFonts w:ascii="Arial" w:hAnsi="Arial" w:cs="Arial"/>
          <w:sz w:val="28"/>
          <w:szCs w:val="28"/>
          <w:lang w:val="en-CA"/>
        </w:rPr>
        <w:t>09,661 library</w:t>
      </w:r>
      <w:r w:rsidRPr="001E2CB1">
        <w:rPr>
          <w:rFonts w:ascii="Arial" w:hAnsi="Arial" w:cs="Arial"/>
          <w:sz w:val="28"/>
          <w:szCs w:val="28"/>
          <w:lang w:val="en-CA"/>
        </w:rPr>
        <w:t xml:space="preserve"> </w:t>
      </w:r>
      <w:r w:rsidRPr="001E2CB1">
        <w:rPr>
          <w:rFonts w:ascii="Arial" w:hAnsi="Arial" w:cs="Arial"/>
          <w:bCs/>
          <w:sz w:val="28"/>
          <w:szCs w:val="28"/>
          <w:lang w:val="en-CA"/>
        </w:rPr>
        <w:t xml:space="preserve">cardholders </w:t>
      </w:r>
    </w:p>
    <w:p w:rsidR="00A707CD" w:rsidRPr="001E2CB1" w:rsidRDefault="00A707CD" w:rsidP="00A707CD">
      <w:pPr>
        <w:pStyle w:val="ListParagraph"/>
        <w:numPr>
          <w:ilvl w:val="0"/>
          <w:numId w:val="1"/>
        </w:numPr>
        <w:rPr>
          <w:rFonts w:ascii="Arial" w:hAnsi="Arial" w:cs="Arial"/>
          <w:sz w:val="28"/>
          <w:szCs w:val="28"/>
        </w:rPr>
      </w:pPr>
      <w:r w:rsidRPr="00560EDB">
        <w:rPr>
          <w:rFonts w:ascii="Arial" w:hAnsi="Arial" w:cs="Arial"/>
          <w:sz w:val="28"/>
          <w:szCs w:val="28"/>
          <w:lang w:val="en-CA"/>
        </w:rPr>
        <w:t>2,</w:t>
      </w:r>
      <w:r>
        <w:rPr>
          <w:rFonts w:ascii="Arial" w:hAnsi="Arial" w:cs="Arial"/>
          <w:sz w:val="28"/>
          <w:szCs w:val="28"/>
          <w:lang w:val="en-CA"/>
        </w:rPr>
        <w:t>418,588</w:t>
      </w:r>
      <w:r w:rsidRPr="001E2CB1">
        <w:rPr>
          <w:rFonts w:ascii="Arial" w:hAnsi="Arial" w:cs="Arial"/>
          <w:sz w:val="28"/>
          <w:szCs w:val="28"/>
          <w:lang w:val="en-CA"/>
        </w:rPr>
        <w:t xml:space="preserve"> </w:t>
      </w:r>
      <w:r>
        <w:rPr>
          <w:rFonts w:ascii="Arial" w:hAnsi="Arial" w:cs="Arial"/>
          <w:bCs/>
          <w:sz w:val="28"/>
          <w:szCs w:val="28"/>
          <w:lang w:val="en-CA"/>
        </w:rPr>
        <w:t>in-person visits in 2019</w:t>
      </w:r>
    </w:p>
    <w:p w:rsidR="00A707CD" w:rsidRPr="001E2CB1" w:rsidRDefault="00A707CD" w:rsidP="00A707CD">
      <w:pPr>
        <w:pStyle w:val="ListParagraph"/>
        <w:numPr>
          <w:ilvl w:val="0"/>
          <w:numId w:val="1"/>
        </w:numPr>
        <w:rPr>
          <w:rFonts w:ascii="Arial" w:hAnsi="Arial" w:cs="Arial"/>
          <w:sz w:val="28"/>
          <w:szCs w:val="28"/>
        </w:rPr>
      </w:pPr>
      <w:r>
        <w:rPr>
          <w:rFonts w:ascii="Arial" w:hAnsi="Arial" w:cs="Arial"/>
          <w:sz w:val="28"/>
          <w:szCs w:val="28"/>
          <w:lang w:val="en-CA"/>
        </w:rPr>
        <w:t>5,761,544</w:t>
      </w:r>
      <w:r w:rsidRPr="001E2CB1">
        <w:rPr>
          <w:rFonts w:ascii="Arial" w:hAnsi="Arial" w:cs="Arial"/>
          <w:sz w:val="28"/>
          <w:szCs w:val="28"/>
          <w:lang w:val="en-CA"/>
        </w:rPr>
        <w:t xml:space="preserve"> </w:t>
      </w:r>
      <w:r w:rsidRPr="001E2CB1">
        <w:rPr>
          <w:rFonts w:ascii="Arial" w:hAnsi="Arial" w:cs="Arial"/>
          <w:bCs/>
          <w:sz w:val="28"/>
          <w:szCs w:val="28"/>
          <w:lang w:val="en-CA"/>
        </w:rPr>
        <w:t xml:space="preserve">items borrowed including eBook and </w:t>
      </w:r>
      <w:proofErr w:type="spellStart"/>
      <w:r w:rsidRPr="001E2CB1">
        <w:rPr>
          <w:rFonts w:ascii="Arial" w:hAnsi="Arial" w:cs="Arial"/>
          <w:bCs/>
          <w:sz w:val="28"/>
          <w:szCs w:val="28"/>
          <w:lang w:val="en-CA"/>
        </w:rPr>
        <w:t>eLibrary</w:t>
      </w:r>
      <w:proofErr w:type="spellEnd"/>
      <w:r w:rsidRPr="001E2CB1">
        <w:rPr>
          <w:rFonts w:ascii="Arial" w:hAnsi="Arial" w:cs="Arial"/>
          <w:bCs/>
          <w:sz w:val="28"/>
          <w:szCs w:val="28"/>
          <w:lang w:val="en-CA"/>
        </w:rPr>
        <w:t xml:space="preserve"> downloads</w:t>
      </w:r>
    </w:p>
    <w:p w:rsidR="00A707CD" w:rsidRPr="001E2CB1" w:rsidRDefault="00A707CD" w:rsidP="00A707CD">
      <w:pPr>
        <w:pStyle w:val="ListParagraph"/>
        <w:numPr>
          <w:ilvl w:val="0"/>
          <w:numId w:val="1"/>
        </w:numPr>
        <w:rPr>
          <w:rFonts w:ascii="Arial" w:hAnsi="Arial" w:cs="Arial"/>
          <w:sz w:val="28"/>
          <w:szCs w:val="28"/>
        </w:rPr>
      </w:pPr>
      <w:r>
        <w:rPr>
          <w:rFonts w:ascii="Arial" w:hAnsi="Arial" w:cs="Arial"/>
          <w:sz w:val="28"/>
          <w:szCs w:val="28"/>
        </w:rPr>
        <w:t>3,</w:t>
      </w:r>
      <w:r w:rsidR="00AB4F75">
        <w:rPr>
          <w:rFonts w:ascii="Arial" w:hAnsi="Arial" w:cs="Arial"/>
          <w:sz w:val="28"/>
          <w:szCs w:val="28"/>
        </w:rPr>
        <w:t>886</w:t>
      </w:r>
      <w:r w:rsidRPr="001E2CB1">
        <w:rPr>
          <w:rFonts w:ascii="Arial" w:hAnsi="Arial" w:cs="Arial"/>
          <w:sz w:val="28"/>
          <w:szCs w:val="28"/>
        </w:rPr>
        <w:t xml:space="preserve"> programs offered</w:t>
      </w:r>
    </w:p>
    <w:p w:rsidR="00AB4F75" w:rsidRDefault="00AB4F75" w:rsidP="00A707CD">
      <w:pPr>
        <w:pStyle w:val="ListParagraph"/>
        <w:numPr>
          <w:ilvl w:val="0"/>
          <w:numId w:val="1"/>
        </w:numPr>
        <w:rPr>
          <w:rFonts w:ascii="Arial" w:hAnsi="Arial" w:cs="Arial"/>
          <w:sz w:val="28"/>
          <w:szCs w:val="28"/>
        </w:rPr>
      </w:pPr>
      <w:r w:rsidRPr="00AB4F75">
        <w:rPr>
          <w:rFonts w:ascii="Arial" w:hAnsi="Arial" w:cs="Arial"/>
          <w:sz w:val="28"/>
          <w:szCs w:val="28"/>
        </w:rPr>
        <w:t>101,371</w:t>
      </w:r>
      <w:r w:rsidR="00A707CD" w:rsidRPr="00AB4F75">
        <w:rPr>
          <w:rFonts w:ascii="Arial" w:hAnsi="Arial" w:cs="Arial"/>
          <w:sz w:val="28"/>
          <w:szCs w:val="28"/>
        </w:rPr>
        <w:t xml:space="preserve"> in program attendance.</w:t>
      </w:r>
    </w:p>
    <w:p w:rsidR="00A707CD" w:rsidRPr="00AB4F75" w:rsidRDefault="00A707CD" w:rsidP="00A707CD">
      <w:pPr>
        <w:pStyle w:val="ListParagraph"/>
        <w:numPr>
          <w:ilvl w:val="0"/>
          <w:numId w:val="1"/>
        </w:numPr>
        <w:rPr>
          <w:rFonts w:ascii="Arial" w:hAnsi="Arial" w:cs="Arial"/>
          <w:sz w:val="28"/>
          <w:szCs w:val="28"/>
        </w:rPr>
      </w:pPr>
      <w:r w:rsidRPr="00AB4F75">
        <w:rPr>
          <w:rFonts w:ascii="Arial" w:hAnsi="Arial" w:cs="Arial"/>
          <w:sz w:val="28"/>
          <w:szCs w:val="28"/>
        </w:rPr>
        <w:t>2</w:t>
      </w:r>
      <w:r w:rsidR="00AB4F75">
        <w:rPr>
          <w:rFonts w:ascii="Arial" w:hAnsi="Arial" w:cs="Arial"/>
          <w:sz w:val="28"/>
          <w:szCs w:val="28"/>
        </w:rPr>
        <w:t>65,932</w:t>
      </w:r>
      <w:r w:rsidRPr="00AB4F75">
        <w:rPr>
          <w:rFonts w:ascii="Arial" w:hAnsi="Arial" w:cs="Arial"/>
          <w:sz w:val="28"/>
          <w:szCs w:val="28"/>
        </w:rPr>
        <w:t xml:space="preserve"> questions were answered</w:t>
      </w:r>
    </w:p>
    <w:p w:rsidR="00A707CD" w:rsidRPr="001E2CB1" w:rsidRDefault="00AB4F75" w:rsidP="00A707CD">
      <w:pPr>
        <w:pStyle w:val="ListParagraph"/>
        <w:numPr>
          <w:ilvl w:val="0"/>
          <w:numId w:val="1"/>
        </w:numPr>
        <w:rPr>
          <w:rFonts w:ascii="Arial" w:hAnsi="Arial" w:cs="Arial"/>
          <w:sz w:val="28"/>
          <w:szCs w:val="28"/>
        </w:rPr>
      </w:pPr>
      <w:r>
        <w:rPr>
          <w:rFonts w:ascii="Arial" w:hAnsi="Arial" w:cs="Arial"/>
          <w:sz w:val="28"/>
          <w:szCs w:val="28"/>
        </w:rPr>
        <w:t>266,914</w:t>
      </w:r>
      <w:r w:rsidR="00A707CD" w:rsidRPr="001E2CB1">
        <w:rPr>
          <w:rFonts w:ascii="Arial" w:hAnsi="Arial" w:cs="Arial"/>
          <w:sz w:val="28"/>
          <w:szCs w:val="28"/>
        </w:rPr>
        <w:t xml:space="preserve"> computer bookings</w:t>
      </w:r>
    </w:p>
    <w:p w:rsidR="00A707CD" w:rsidRPr="001E2CB1" w:rsidRDefault="00AB4F75" w:rsidP="00A707CD">
      <w:pPr>
        <w:pStyle w:val="ListParagraph"/>
        <w:numPr>
          <w:ilvl w:val="0"/>
          <w:numId w:val="1"/>
        </w:numPr>
        <w:rPr>
          <w:rFonts w:ascii="Arial" w:hAnsi="Arial" w:cs="Arial"/>
          <w:sz w:val="28"/>
          <w:szCs w:val="28"/>
        </w:rPr>
      </w:pPr>
      <w:r>
        <w:rPr>
          <w:rFonts w:ascii="Arial" w:hAnsi="Arial" w:cs="Arial"/>
          <w:sz w:val="28"/>
          <w:szCs w:val="28"/>
        </w:rPr>
        <w:t>1,002,851</w:t>
      </w:r>
      <w:r w:rsidR="00A707CD" w:rsidRPr="001E2CB1">
        <w:rPr>
          <w:rFonts w:ascii="Arial" w:hAnsi="Arial" w:cs="Arial"/>
          <w:sz w:val="28"/>
          <w:szCs w:val="28"/>
        </w:rPr>
        <w:t xml:space="preserve"> </w:t>
      </w:r>
      <w:proofErr w:type="spellStart"/>
      <w:r w:rsidR="00A707CD" w:rsidRPr="001E2CB1">
        <w:rPr>
          <w:rFonts w:ascii="Arial" w:hAnsi="Arial" w:cs="Arial"/>
          <w:sz w:val="28"/>
          <w:szCs w:val="28"/>
        </w:rPr>
        <w:t>eLibrary</w:t>
      </w:r>
      <w:proofErr w:type="spellEnd"/>
      <w:r w:rsidR="00A707CD" w:rsidRPr="001E2CB1">
        <w:rPr>
          <w:rFonts w:ascii="Arial" w:hAnsi="Arial" w:cs="Arial"/>
          <w:sz w:val="28"/>
          <w:szCs w:val="28"/>
        </w:rPr>
        <w:t xml:space="preserve"> downloads</w:t>
      </w:r>
    </w:p>
    <w:p w:rsidR="00A707CD" w:rsidRDefault="00A707CD" w:rsidP="00A707CD">
      <w:pPr>
        <w:pStyle w:val="ListParagraph"/>
        <w:numPr>
          <w:ilvl w:val="0"/>
          <w:numId w:val="1"/>
        </w:numPr>
        <w:rPr>
          <w:rFonts w:ascii="Arial" w:hAnsi="Arial" w:cs="Arial"/>
          <w:sz w:val="28"/>
          <w:szCs w:val="28"/>
        </w:rPr>
      </w:pPr>
      <w:r w:rsidRPr="00560EDB">
        <w:rPr>
          <w:rFonts w:ascii="Arial" w:hAnsi="Arial" w:cs="Arial"/>
          <w:sz w:val="28"/>
          <w:szCs w:val="28"/>
        </w:rPr>
        <w:t>1</w:t>
      </w:r>
      <w:r w:rsidR="00AB4F75">
        <w:rPr>
          <w:rFonts w:ascii="Arial" w:hAnsi="Arial" w:cs="Arial"/>
          <w:sz w:val="28"/>
          <w:szCs w:val="28"/>
        </w:rPr>
        <w:t>4,964,147</w:t>
      </w:r>
      <w:r w:rsidRPr="001E2CB1">
        <w:rPr>
          <w:rFonts w:ascii="Arial" w:hAnsi="Arial" w:cs="Arial"/>
          <w:sz w:val="28"/>
          <w:szCs w:val="28"/>
        </w:rPr>
        <w:t xml:space="preserve"> </w:t>
      </w:r>
      <w:proofErr w:type="spellStart"/>
      <w:r w:rsidRPr="001E2CB1">
        <w:rPr>
          <w:rFonts w:ascii="Arial" w:hAnsi="Arial" w:cs="Arial"/>
          <w:sz w:val="28"/>
          <w:szCs w:val="28"/>
        </w:rPr>
        <w:t>eVisits</w:t>
      </w:r>
      <w:proofErr w:type="spellEnd"/>
      <w:r w:rsidRPr="001E2CB1">
        <w:rPr>
          <w:rFonts w:ascii="Arial" w:hAnsi="Arial" w:cs="Arial"/>
          <w:sz w:val="28"/>
          <w:szCs w:val="28"/>
        </w:rPr>
        <w:t xml:space="preserve"> (website, catalogue sessions and social media)</w:t>
      </w:r>
    </w:p>
    <w:p w:rsidR="00A707CD" w:rsidRDefault="00AB4F75" w:rsidP="00AB4F75">
      <w:pPr>
        <w:pStyle w:val="Heading1"/>
      </w:pPr>
      <w:r>
        <w:t>Highlights of 2019</w:t>
      </w:r>
    </w:p>
    <w:p w:rsidR="00AB4F75" w:rsidRDefault="00AB4F75" w:rsidP="00AB4F75">
      <w:r w:rsidRPr="00AB4F75">
        <w:t xml:space="preserve">The new </w:t>
      </w:r>
      <w:r w:rsidRPr="00AB4F75">
        <w:rPr>
          <w:b/>
        </w:rPr>
        <w:t>Transcona Library</w:t>
      </w:r>
      <w:r w:rsidRPr="00AB4F75">
        <w:t xml:space="preserve"> opened on March 7. The new library is fully accessible with increased parking and an outdoor reading area. The library also received a </w:t>
      </w:r>
      <w:proofErr w:type="spellStart"/>
      <w:r w:rsidRPr="009F1C4E">
        <w:rPr>
          <w:b/>
        </w:rPr>
        <w:t>Smartlocker</w:t>
      </w:r>
      <w:proofErr w:type="spellEnd"/>
      <w:r w:rsidRPr="00AB4F75">
        <w:t xml:space="preserve"> in October, allowing customers to pick up their holds even when the library is closed.</w:t>
      </w:r>
    </w:p>
    <w:p w:rsidR="004E16AB" w:rsidRDefault="004E16AB" w:rsidP="004E16AB">
      <w:r w:rsidRPr="00D071CB">
        <w:t xml:space="preserve">A sod turning ceremony was held for the new </w:t>
      </w:r>
      <w:r w:rsidRPr="004E16AB">
        <w:rPr>
          <w:b/>
        </w:rPr>
        <w:t>Bill &amp; Helen Norrie Library</w:t>
      </w:r>
      <w:r w:rsidRPr="00D071CB">
        <w:t xml:space="preserve"> on October 29. The new fully accessible library is expected to open in early 2021.</w:t>
      </w:r>
    </w:p>
    <w:p w:rsidR="004E16AB" w:rsidRDefault="004E16AB" w:rsidP="004E16AB">
      <w:r w:rsidRPr="00BA3E3F">
        <w:t xml:space="preserve">The </w:t>
      </w:r>
      <w:r w:rsidRPr="00BA3E3F">
        <w:rPr>
          <w:b/>
        </w:rPr>
        <w:t xml:space="preserve">St. John’s </w:t>
      </w:r>
      <w:r>
        <w:rPr>
          <w:b/>
        </w:rPr>
        <w:t>L</w:t>
      </w:r>
      <w:r w:rsidRPr="00BA3E3F">
        <w:rPr>
          <w:b/>
        </w:rPr>
        <w:t>ibrary</w:t>
      </w:r>
      <w:r w:rsidRPr="00BA3E3F">
        <w:t xml:space="preserve"> reopened on July 5. Renovations included a reading room and new accessible entrance that meets the needs of today’s library users.</w:t>
      </w:r>
    </w:p>
    <w:p w:rsidR="004E16AB" w:rsidRDefault="004E16AB" w:rsidP="004E16AB">
      <w:r w:rsidRPr="004E16AB">
        <w:rPr>
          <w:b/>
        </w:rPr>
        <w:lastRenderedPageBreak/>
        <w:t xml:space="preserve">The West </w:t>
      </w:r>
      <w:proofErr w:type="spellStart"/>
      <w:r w:rsidRPr="004E16AB">
        <w:rPr>
          <w:b/>
        </w:rPr>
        <w:t>Kildonan</w:t>
      </w:r>
      <w:proofErr w:type="spellEnd"/>
      <w:r w:rsidRPr="004E16AB">
        <w:rPr>
          <w:b/>
        </w:rPr>
        <w:t xml:space="preserve"> Library</w:t>
      </w:r>
      <w:r w:rsidRPr="004E16AB">
        <w:t xml:space="preserve"> children’s area in the lower level underwent renovations that were completed in October 2019.</w:t>
      </w:r>
    </w:p>
    <w:p w:rsidR="004E16AB" w:rsidRDefault="004E16AB" w:rsidP="004E16AB">
      <w:r w:rsidRPr="009F1C4E">
        <w:t>On March 14</w:t>
      </w:r>
      <w:r w:rsidRPr="009F1C4E">
        <w:rPr>
          <w:b/>
        </w:rPr>
        <w:t>, The Prix Ronald-Duhamel - Ronald Duhamel Award</w:t>
      </w:r>
      <w:r w:rsidRPr="009F1C4E">
        <w:t xml:space="preserve"> was presented to the </w:t>
      </w:r>
      <w:r w:rsidRPr="009F1C4E">
        <w:rPr>
          <w:b/>
        </w:rPr>
        <w:t>St. Boniface Library staff</w:t>
      </w:r>
      <w:r w:rsidRPr="009F1C4E">
        <w:t xml:space="preserve"> for their delivery of services, programming and resources to the citizens of Winnipeg.</w:t>
      </w:r>
    </w:p>
    <w:p w:rsidR="004E16AB" w:rsidRDefault="004E16AB" w:rsidP="004E16AB">
      <w:r>
        <w:t xml:space="preserve">Award-winning playwright and author, </w:t>
      </w:r>
      <w:r w:rsidRPr="00BA3E3F">
        <w:rPr>
          <w:b/>
        </w:rPr>
        <w:t>Carolyn Gray</w:t>
      </w:r>
      <w:r>
        <w:t xml:space="preserve">, began her term as the </w:t>
      </w:r>
      <w:r w:rsidRPr="00BA3E3F">
        <w:rPr>
          <w:b/>
        </w:rPr>
        <w:t xml:space="preserve">30th Writer-in-Residence </w:t>
      </w:r>
      <w:r>
        <w:t>on October 1st. The Writer-in-Residence program provides one-on-one mentorship and public workshops to hundreds of emerging writers of all genres.</w:t>
      </w:r>
    </w:p>
    <w:p w:rsidR="004E16AB" w:rsidRDefault="004E16AB" w:rsidP="004E16AB">
      <w:r>
        <w:t xml:space="preserve">A celebration launched the </w:t>
      </w:r>
      <w:r w:rsidRPr="004E16AB">
        <w:rPr>
          <w:b/>
        </w:rPr>
        <w:t>Sun Life Musical Instrument Lending Library</w:t>
      </w:r>
      <w:r>
        <w:t xml:space="preserve"> on October 4. The event included speakers from Sun Life, </w:t>
      </w:r>
      <w:proofErr w:type="spellStart"/>
      <w:r>
        <w:t>Councillor</w:t>
      </w:r>
      <w:proofErr w:type="spellEnd"/>
      <w:r>
        <w:t xml:space="preserve"> Sherri Rollins, Canadian artist Sarah McLachlan and special performances. The library has over 150 instruments available to borrow. The Sun Life Musical Instrumental Lending Library donation drive also launched on October 4. New or gently used instruments can be dropped off at Millennium Library or at Long &amp; McQuade.</w:t>
      </w:r>
    </w:p>
    <w:p w:rsidR="009F1C4E" w:rsidRPr="009F1C4E" w:rsidRDefault="009F1C4E" w:rsidP="009F1C4E">
      <w:r w:rsidRPr="009F1C4E">
        <w:t xml:space="preserve">A </w:t>
      </w:r>
      <w:r w:rsidRPr="009F1C4E">
        <w:rPr>
          <w:b/>
        </w:rPr>
        <w:t>second full-time Community Crisis Worker</w:t>
      </w:r>
      <w:r w:rsidRPr="009F1C4E">
        <w:t xml:space="preserve"> was hired. Based out of Millennium Library, the library’s Community Crisis Workers provide information on shelter and housing, social assistance, employment, counselling, mental health programs and more.</w:t>
      </w:r>
    </w:p>
    <w:p w:rsidR="009F1C4E" w:rsidRDefault="009F1C4E" w:rsidP="00AB4F75">
      <w:r w:rsidRPr="009F1C4E">
        <w:rPr>
          <w:b/>
        </w:rPr>
        <w:t>Family Literacy Day,</w:t>
      </w:r>
      <w:r w:rsidRPr="009F1C4E">
        <w:t xml:space="preserve"> held on January 26, collected $2,816 in fines and fees for donation to the Literacy </w:t>
      </w:r>
      <w:proofErr w:type="gramStart"/>
      <w:r w:rsidRPr="009F1C4E">
        <w:t>For</w:t>
      </w:r>
      <w:proofErr w:type="gramEnd"/>
      <w:r w:rsidRPr="009F1C4E">
        <w:t xml:space="preserve"> Life Fund, held at The Winnipeg Foundation.</w:t>
      </w:r>
    </w:p>
    <w:p w:rsidR="004E16AB" w:rsidRDefault="009F1C4E" w:rsidP="00AB4F75">
      <w:r w:rsidRPr="009F1C4E">
        <w:rPr>
          <w:b/>
        </w:rPr>
        <w:t>Take Your Child to the Library Day</w:t>
      </w:r>
      <w:r w:rsidRPr="009F1C4E">
        <w:t>, held on February 2, saw over 200 library cards issued and 1,300 individuals visit a branch to view a family concert or puppet show, listen to a story time or participate in a scavenger hunt.</w:t>
      </w:r>
    </w:p>
    <w:p w:rsidR="004E16AB" w:rsidRDefault="004E16AB" w:rsidP="004E16AB">
      <w:r>
        <w:br w:type="page"/>
      </w:r>
    </w:p>
    <w:p w:rsidR="009F1C4E" w:rsidRDefault="009F1C4E" w:rsidP="009F1C4E">
      <w:r>
        <w:lastRenderedPageBreak/>
        <w:t xml:space="preserve">The </w:t>
      </w:r>
      <w:r w:rsidRPr="009F1C4E">
        <w:rPr>
          <w:b/>
        </w:rPr>
        <w:t>Kindergarten Card Campaign</w:t>
      </w:r>
      <w:r>
        <w:t xml:space="preserve"> shared information on early literacy skill development with families of incoming students in Pembina Trails School Division and enrolled students in Seven Oaks School Division.</w:t>
      </w:r>
      <w:r w:rsidR="00BA3E3F">
        <w:t xml:space="preserve"> </w:t>
      </w:r>
      <w:r>
        <w:t>Parents were given the opportunity to receive a library card for their child in kindergarten and all children received a voucher for a free picture book from the Library.</w:t>
      </w:r>
      <w:r w:rsidR="00BA3E3F">
        <w:t xml:space="preserve"> </w:t>
      </w:r>
      <w:r>
        <w:t>More than 600 new library cards were issued to students. Thanks to the Winnipeg Public Library Board for their generous donation to continue this campaign.</w:t>
      </w:r>
    </w:p>
    <w:p w:rsidR="00BA3E3F" w:rsidRDefault="00BA3E3F" w:rsidP="009F1C4E">
      <w:r w:rsidRPr="00BA3E3F">
        <w:t xml:space="preserve">The annual </w:t>
      </w:r>
      <w:r w:rsidRPr="00BA3E3F">
        <w:rPr>
          <w:b/>
        </w:rPr>
        <w:t>TD Summer Reading club</w:t>
      </w:r>
      <w:r w:rsidRPr="00BA3E3F">
        <w:t xml:space="preserve"> saw its highest registration numbers in the history of the program. Just over 11,300 participants registered in 2019, a 13% increase over 2018.</w:t>
      </w:r>
    </w:p>
    <w:p w:rsidR="00BA3E3F" w:rsidRDefault="00BA3E3F" w:rsidP="00BA3E3F">
      <w:r w:rsidRPr="004E16AB">
        <w:rPr>
          <w:b/>
        </w:rPr>
        <w:t>Pow Wow</w:t>
      </w:r>
      <w:r w:rsidRPr="00BA3E3F">
        <w:t xml:space="preserve"> in the Millennium </w:t>
      </w:r>
      <w:r>
        <w:t xml:space="preserve">Library </w:t>
      </w:r>
      <w:r w:rsidRPr="00BA3E3F">
        <w:t>Park</w:t>
      </w:r>
      <w:r>
        <w:t xml:space="preserve"> held on</w:t>
      </w:r>
      <w:r w:rsidRPr="00BA3E3F">
        <w:t xml:space="preserve"> June 28</w:t>
      </w:r>
    </w:p>
    <w:p w:rsidR="00051A97" w:rsidRDefault="00051A97" w:rsidP="00051A97">
      <w:pPr>
        <w:pStyle w:val="Heading1"/>
      </w:pPr>
      <w:r>
        <w:t>Winnipeg Public Library Board</w:t>
      </w:r>
    </w:p>
    <w:p w:rsidR="00051A97" w:rsidRDefault="00051A97" w:rsidP="00051A97">
      <w:r w:rsidRPr="00051A97">
        <w:t>2019 was a busy year for the Winnipeg Public Library Board. The process of updating the Board’s 5-year strategic plan was started and focused on the advocacy and advisory mandates of the Board. Continued financial support to various programs and services that is offered through WPL such as Indigenous language programs, Writer-in-Residence, hiring a consultant to examine and provide recommendations to the WPL multilingual collection, and materials for Outreach services was provided. The Board remains committed to ensure the sustainability and support of WPL. Many thanks to the Library Advisory Committees who are a support of library services within their communities.</w:t>
      </w:r>
    </w:p>
    <w:p w:rsidR="00051A97" w:rsidRDefault="00051A97" w:rsidP="00051A97">
      <w:r>
        <w:br w:type="page"/>
      </w:r>
    </w:p>
    <w:p w:rsidR="00051A97" w:rsidRDefault="00051A97" w:rsidP="00051A97">
      <w:pPr>
        <w:pStyle w:val="Heading1"/>
      </w:pPr>
      <w:r>
        <w:lastRenderedPageBreak/>
        <w:t>Friends of the Winnipeg Public Library</w:t>
      </w:r>
    </w:p>
    <w:p w:rsidR="00051A97" w:rsidRDefault="00051A97" w:rsidP="00051A97">
      <w:r>
        <w:t xml:space="preserve">2019 was an exciting year for the Friends. We were pleased to contribute $43,000 for library programs and special projects. This contribution is the largest ever.  To those who attended Books &amp; Brunch, shopped at the Best of Friends Gift Shop and the Fall Book Sale, made donations and bought memberships, THANK YOU! </w:t>
      </w:r>
    </w:p>
    <w:p w:rsidR="00051A97" w:rsidRDefault="00051A97" w:rsidP="00051A97">
      <w:r>
        <w:t>None of these funds would be available if it were not for the over 70 committed Friends’ volunteers. Hats off to each of them!</w:t>
      </w:r>
    </w:p>
    <w:p w:rsidR="00051A97" w:rsidRDefault="00051A97" w:rsidP="00051A97">
      <w:r>
        <w:t xml:space="preserve">These were the Friends’ contributions:  supported the Writer-in-Residence program; major contributor to Spring Break Family Programming; funded the St. Boniface Family Literacy Playground, first in the city to be English and French; Wall Decals for St. Boniface Library, to support the early childhood literacy skill development – Talk, Sing, Read, Write, Play; funded the purchase of three more sewing machines – industrial, embroidery and quilting – as well as add-on software to enhance the five sewing machines previously provided by the Friends, in the </w:t>
      </w:r>
      <w:proofErr w:type="spellStart"/>
      <w:r>
        <w:t>ideaMILL</w:t>
      </w:r>
      <w:proofErr w:type="spellEnd"/>
      <w:r>
        <w:t>; and the purchase of Tote Bags, for giveaways at major library events, with Friends logo on them. Learn more at friendswpl.ca.</w:t>
      </w:r>
      <w:r>
        <w:br/>
        <w:t>Kathy Blight, President</w:t>
      </w:r>
    </w:p>
    <w:p w:rsidR="00051A97" w:rsidRDefault="00051A97" w:rsidP="00051A97">
      <w:pPr>
        <w:pStyle w:val="Heading1"/>
      </w:pPr>
      <w:r>
        <w:t>Winnipeg Library Foundation</w:t>
      </w:r>
    </w:p>
    <w:p w:rsidR="00051A97" w:rsidRDefault="00051A97" w:rsidP="00051A97">
      <w:r>
        <w:t xml:space="preserve">We were delighted to see St. John’s Library reopen this year as a direct result of the Centennial Renewal campaign – Cornish Library will soon follow. This year we were the grateful recipients of a generous planned gift. If you have considered leaving a bequest to the Winnipeg Library Foundation in support of your public library as part of your estate planning, we would be happy to help make that process simple for you. </w:t>
      </w:r>
    </w:p>
    <w:p w:rsidR="00051A97" w:rsidRPr="00051A97" w:rsidRDefault="00051A97" w:rsidP="00051A97">
      <w:r>
        <w:t xml:space="preserve">As always, we are grateful to the many donors and supporters – we couldn’t do it without you. Reach us via email to info@winnipeglibraryfoundation.ca, or by phone at 204.989.2060. </w:t>
      </w:r>
      <w:r>
        <w:br/>
        <w:t>Carole Marshall, Executive Director</w:t>
      </w:r>
    </w:p>
    <w:p w:rsidR="00D071CB" w:rsidRDefault="00D071CB" w:rsidP="00D071CB">
      <w:pPr>
        <w:pStyle w:val="Heading1"/>
      </w:pPr>
      <w:r w:rsidRPr="00D071CB">
        <w:lastRenderedPageBreak/>
        <w:t>Financial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00"/>
        <w:gridCol w:w="1368"/>
      </w:tblGrid>
      <w:tr w:rsidR="00D071CB" w:rsidRPr="00D071CB" w:rsidTr="004E16AB">
        <w:trPr>
          <w:trHeight w:val="499"/>
        </w:trPr>
        <w:tc>
          <w:tcPr>
            <w:tcW w:w="5508" w:type="dxa"/>
          </w:tcPr>
          <w:p w:rsidR="00D071CB" w:rsidRPr="00D071CB" w:rsidRDefault="00D071CB" w:rsidP="00E813CE">
            <w:pPr>
              <w:pStyle w:val="Heading2"/>
              <w:outlineLvl w:val="1"/>
              <w:rPr>
                <w:caps/>
              </w:rPr>
            </w:pPr>
            <w:r w:rsidRPr="00D071CB">
              <w:rPr>
                <w:caps/>
              </w:rPr>
              <w:t>Revenue 2019</w:t>
            </w:r>
          </w:p>
        </w:tc>
        <w:tc>
          <w:tcPr>
            <w:tcW w:w="2700" w:type="dxa"/>
          </w:tcPr>
          <w:p w:rsidR="00D071CB" w:rsidRPr="00D071CB" w:rsidRDefault="00D071CB" w:rsidP="00D071CB">
            <w:pPr>
              <w:pStyle w:val="Heading2"/>
              <w:jc w:val="right"/>
              <w:outlineLvl w:val="1"/>
            </w:pPr>
          </w:p>
        </w:tc>
        <w:tc>
          <w:tcPr>
            <w:tcW w:w="1368" w:type="dxa"/>
          </w:tcPr>
          <w:p w:rsidR="00D071CB" w:rsidRPr="00D071CB" w:rsidRDefault="00D071CB" w:rsidP="00D071CB">
            <w:pPr>
              <w:pStyle w:val="Heading2"/>
              <w:jc w:val="right"/>
              <w:outlineLvl w:val="1"/>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city of winnipeg</w:t>
            </w:r>
          </w:p>
        </w:tc>
        <w:tc>
          <w:tcPr>
            <w:tcW w:w="2700" w:type="dxa"/>
          </w:tcPr>
          <w:p w:rsidR="00D071CB" w:rsidRPr="00D071CB" w:rsidRDefault="00D071CB" w:rsidP="00D071CB">
            <w:pPr>
              <w:jc w:val="right"/>
            </w:pPr>
            <w:r w:rsidRPr="00D071CB">
              <w:t>$22,536,444</w:t>
            </w:r>
          </w:p>
        </w:tc>
        <w:tc>
          <w:tcPr>
            <w:tcW w:w="1368" w:type="dxa"/>
          </w:tcPr>
          <w:p w:rsidR="00D071CB" w:rsidRPr="00D071CB" w:rsidRDefault="00D071CB" w:rsidP="00D071CB">
            <w:pPr>
              <w:jc w:val="right"/>
            </w:pPr>
            <w:r w:rsidRPr="00D071CB">
              <w:t>87%</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PROVINCE OF MANITOBA</w:t>
            </w:r>
          </w:p>
        </w:tc>
        <w:tc>
          <w:tcPr>
            <w:tcW w:w="2700" w:type="dxa"/>
          </w:tcPr>
          <w:p w:rsidR="00D071CB" w:rsidRPr="00D071CB" w:rsidRDefault="00D071CB" w:rsidP="00D071CB">
            <w:pPr>
              <w:jc w:val="right"/>
            </w:pPr>
            <w:r w:rsidRPr="00D071CB">
              <w:t>$2,010,118</w:t>
            </w:r>
          </w:p>
        </w:tc>
        <w:tc>
          <w:tcPr>
            <w:tcW w:w="1368" w:type="dxa"/>
          </w:tcPr>
          <w:p w:rsidR="00D071CB" w:rsidRPr="00D071CB" w:rsidRDefault="00D071CB" w:rsidP="00D071CB">
            <w:pPr>
              <w:jc w:val="right"/>
            </w:pPr>
            <w:r w:rsidRPr="00D071CB">
              <w:t>8%</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 GENERATED</w:t>
            </w:r>
          </w:p>
        </w:tc>
        <w:tc>
          <w:tcPr>
            <w:tcW w:w="2700" w:type="dxa"/>
          </w:tcPr>
          <w:p w:rsidR="00D071CB" w:rsidRPr="00D071CB" w:rsidRDefault="00D071CB" w:rsidP="00D071CB">
            <w:pPr>
              <w:jc w:val="right"/>
            </w:pPr>
            <w:r w:rsidRPr="00D071CB">
              <w:t>$1,072,056</w:t>
            </w:r>
          </w:p>
        </w:tc>
        <w:tc>
          <w:tcPr>
            <w:tcW w:w="1368" w:type="dxa"/>
          </w:tcPr>
          <w:p w:rsidR="00D071CB" w:rsidRPr="00D071CB" w:rsidRDefault="00D071CB" w:rsidP="00D071CB">
            <w:pPr>
              <w:jc w:val="right"/>
            </w:pPr>
            <w:r w:rsidRPr="00D071CB">
              <w:t>4%</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TRUST/BOOK SALES</w:t>
            </w:r>
          </w:p>
        </w:tc>
        <w:tc>
          <w:tcPr>
            <w:tcW w:w="2700" w:type="dxa"/>
          </w:tcPr>
          <w:p w:rsidR="00D071CB" w:rsidRPr="00D071CB" w:rsidRDefault="00D071CB" w:rsidP="00D071CB">
            <w:pPr>
              <w:jc w:val="right"/>
            </w:pPr>
            <w:r w:rsidRPr="00D071CB">
              <w:t>$371,292</w:t>
            </w:r>
          </w:p>
        </w:tc>
        <w:tc>
          <w:tcPr>
            <w:tcW w:w="1368" w:type="dxa"/>
          </w:tcPr>
          <w:p w:rsidR="00D071CB" w:rsidRPr="00D071CB" w:rsidRDefault="00D071CB" w:rsidP="00D071CB">
            <w:pPr>
              <w:jc w:val="right"/>
            </w:pPr>
            <w:r w:rsidRPr="00D071CB">
              <w:t>1%</w:t>
            </w:r>
          </w:p>
        </w:tc>
      </w:tr>
      <w:tr w:rsidR="00D071CB" w:rsidRPr="00D071CB" w:rsidTr="004E16AB">
        <w:trPr>
          <w:trHeight w:val="499"/>
        </w:trPr>
        <w:tc>
          <w:tcPr>
            <w:tcW w:w="5508" w:type="dxa"/>
            <w:vAlign w:val="bottom"/>
          </w:tcPr>
          <w:p w:rsidR="00D071CB" w:rsidRPr="00D071CB" w:rsidRDefault="00D071CB" w:rsidP="00D071CB">
            <w:pPr>
              <w:pStyle w:val="Heading2"/>
              <w:jc w:val="right"/>
              <w:outlineLvl w:val="1"/>
            </w:pPr>
            <w:r w:rsidRPr="00D071CB">
              <w:t>TOTAL</w:t>
            </w:r>
          </w:p>
        </w:tc>
        <w:tc>
          <w:tcPr>
            <w:tcW w:w="2700" w:type="dxa"/>
            <w:vAlign w:val="bottom"/>
          </w:tcPr>
          <w:p w:rsidR="00D071CB" w:rsidRPr="00D071CB" w:rsidRDefault="00D071CB" w:rsidP="00D071CB">
            <w:pPr>
              <w:jc w:val="right"/>
            </w:pPr>
            <w:r w:rsidRPr="00D071CB">
              <w:t>$25,989,910</w:t>
            </w:r>
          </w:p>
        </w:tc>
        <w:tc>
          <w:tcPr>
            <w:tcW w:w="1368" w:type="dxa"/>
            <w:vAlign w:val="bottom"/>
          </w:tcPr>
          <w:p w:rsidR="00D071CB" w:rsidRPr="00D071CB" w:rsidRDefault="00D071CB" w:rsidP="00D071CB">
            <w:pPr>
              <w:jc w:val="right"/>
            </w:pPr>
            <w:r w:rsidRPr="00D071CB">
              <w:t>100%</w:t>
            </w:r>
          </w:p>
        </w:tc>
      </w:tr>
      <w:tr w:rsidR="00D071CB" w:rsidRPr="00D071CB" w:rsidTr="004E16AB">
        <w:trPr>
          <w:trHeight w:val="499"/>
        </w:trPr>
        <w:tc>
          <w:tcPr>
            <w:tcW w:w="5508" w:type="dxa"/>
          </w:tcPr>
          <w:p w:rsidR="00D071CB" w:rsidRPr="00D071CB" w:rsidRDefault="00D071CB" w:rsidP="00D071CB">
            <w:pPr>
              <w:pStyle w:val="Heading2"/>
              <w:outlineLvl w:val="1"/>
              <w:rPr>
                <w:caps/>
              </w:rPr>
            </w:pPr>
            <w:r w:rsidRPr="00D071CB">
              <w:rPr>
                <w:caps/>
              </w:rPr>
              <w:t>Expenditures 2019</w:t>
            </w:r>
          </w:p>
        </w:tc>
        <w:tc>
          <w:tcPr>
            <w:tcW w:w="2700" w:type="dxa"/>
          </w:tcPr>
          <w:p w:rsidR="00D071CB" w:rsidRPr="00D071CB" w:rsidRDefault="00D071CB" w:rsidP="00D071CB">
            <w:pPr>
              <w:jc w:val="right"/>
            </w:pPr>
          </w:p>
        </w:tc>
        <w:tc>
          <w:tcPr>
            <w:tcW w:w="1368" w:type="dxa"/>
          </w:tcPr>
          <w:p w:rsidR="00D071CB" w:rsidRPr="00D071CB" w:rsidRDefault="00D071CB" w:rsidP="00D071CB">
            <w:pPr>
              <w:jc w:val="right"/>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salaries AND benefits</w:t>
            </w:r>
          </w:p>
        </w:tc>
        <w:tc>
          <w:tcPr>
            <w:tcW w:w="2700" w:type="dxa"/>
          </w:tcPr>
          <w:p w:rsidR="00D071CB" w:rsidRPr="00D071CB" w:rsidRDefault="00D071CB" w:rsidP="00D071CB">
            <w:pPr>
              <w:jc w:val="right"/>
            </w:pPr>
            <w:r w:rsidRPr="00D071CB">
              <w:t xml:space="preserve">$14,295,801 </w:t>
            </w:r>
          </w:p>
        </w:tc>
        <w:tc>
          <w:tcPr>
            <w:tcW w:w="1368" w:type="dxa"/>
          </w:tcPr>
          <w:p w:rsidR="00D071CB" w:rsidRPr="00D071CB" w:rsidRDefault="00D071CB" w:rsidP="00D071CB">
            <w:pPr>
              <w:jc w:val="right"/>
            </w:pPr>
            <w:r w:rsidRPr="00D071CB">
              <w:t>55%</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building maintenance</w:t>
            </w:r>
          </w:p>
        </w:tc>
        <w:tc>
          <w:tcPr>
            <w:tcW w:w="2700" w:type="dxa"/>
          </w:tcPr>
          <w:p w:rsidR="00D071CB" w:rsidRPr="00D071CB" w:rsidRDefault="00D071CB" w:rsidP="00D071CB">
            <w:pPr>
              <w:jc w:val="right"/>
            </w:pPr>
            <w:r w:rsidRPr="00D071CB">
              <w:t>$7,370,601</w:t>
            </w:r>
          </w:p>
        </w:tc>
        <w:tc>
          <w:tcPr>
            <w:tcW w:w="1368" w:type="dxa"/>
          </w:tcPr>
          <w:p w:rsidR="00D071CB" w:rsidRPr="00D071CB" w:rsidRDefault="00D071CB" w:rsidP="00D071CB">
            <w:pPr>
              <w:jc w:val="right"/>
            </w:pPr>
            <w:r w:rsidRPr="00D071CB">
              <w:t>27%</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materials</w:t>
            </w:r>
          </w:p>
        </w:tc>
        <w:tc>
          <w:tcPr>
            <w:tcW w:w="2700" w:type="dxa"/>
          </w:tcPr>
          <w:p w:rsidR="00D071CB" w:rsidRPr="00D071CB" w:rsidRDefault="00D071CB" w:rsidP="00D071CB">
            <w:pPr>
              <w:jc w:val="right"/>
            </w:pPr>
            <w:r w:rsidRPr="00D071CB">
              <w:t>$2,962,287</w:t>
            </w:r>
          </w:p>
        </w:tc>
        <w:tc>
          <w:tcPr>
            <w:tcW w:w="1368" w:type="dxa"/>
          </w:tcPr>
          <w:p w:rsidR="00D071CB" w:rsidRPr="00D071CB" w:rsidRDefault="00D071CB" w:rsidP="00D071CB">
            <w:pPr>
              <w:jc w:val="right"/>
            </w:pPr>
            <w:r w:rsidRPr="00D071CB">
              <w:t>10%</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supplies And services</w:t>
            </w:r>
          </w:p>
        </w:tc>
        <w:tc>
          <w:tcPr>
            <w:tcW w:w="2700" w:type="dxa"/>
          </w:tcPr>
          <w:p w:rsidR="00D071CB" w:rsidRPr="00D071CB" w:rsidRDefault="00D071CB" w:rsidP="00D071CB">
            <w:pPr>
              <w:jc w:val="right"/>
            </w:pPr>
            <w:r w:rsidRPr="00D071CB">
              <w:t>$1,361,221</w:t>
            </w:r>
          </w:p>
        </w:tc>
        <w:tc>
          <w:tcPr>
            <w:tcW w:w="1368" w:type="dxa"/>
          </w:tcPr>
          <w:p w:rsidR="00D071CB" w:rsidRPr="00D071CB" w:rsidRDefault="00D071CB" w:rsidP="00D071CB">
            <w:pPr>
              <w:jc w:val="right"/>
            </w:pPr>
            <w:r w:rsidRPr="00D071CB">
              <w:t>13%</w:t>
            </w:r>
          </w:p>
        </w:tc>
      </w:tr>
      <w:tr w:rsidR="00D071CB" w:rsidRPr="00D071CB" w:rsidTr="004E16AB">
        <w:trPr>
          <w:trHeight w:val="499"/>
        </w:trPr>
        <w:tc>
          <w:tcPr>
            <w:tcW w:w="5508" w:type="dxa"/>
            <w:vAlign w:val="bottom"/>
          </w:tcPr>
          <w:p w:rsidR="00D071CB" w:rsidRPr="00D071CB" w:rsidRDefault="00D071CB" w:rsidP="00D071CB">
            <w:pPr>
              <w:pStyle w:val="Heading2"/>
              <w:jc w:val="right"/>
              <w:outlineLvl w:val="1"/>
            </w:pPr>
            <w:r w:rsidRPr="00D071CB">
              <w:t>TOTAL</w:t>
            </w:r>
          </w:p>
        </w:tc>
        <w:tc>
          <w:tcPr>
            <w:tcW w:w="2700" w:type="dxa"/>
            <w:vAlign w:val="bottom"/>
          </w:tcPr>
          <w:p w:rsidR="00D071CB" w:rsidRPr="00D071CB" w:rsidRDefault="00D071CB" w:rsidP="00D071CB">
            <w:pPr>
              <w:jc w:val="right"/>
            </w:pPr>
            <w:r w:rsidRPr="00D071CB">
              <w:t>$ 25,989,910</w:t>
            </w:r>
          </w:p>
        </w:tc>
        <w:tc>
          <w:tcPr>
            <w:tcW w:w="1368" w:type="dxa"/>
            <w:vAlign w:val="bottom"/>
          </w:tcPr>
          <w:p w:rsidR="00D071CB" w:rsidRPr="00D071CB" w:rsidRDefault="00D071CB" w:rsidP="00D071CB">
            <w:pPr>
              <w:jc w:val="right"/>
            </w:pPr>
            <w:r w:rsidRPr="00D071CB">
              <w:t>100%</w:t>
            </w:r>
          </w:p>
        </w:tc>
      </w:tr>
    </w:tbl>
    <w:p w:rsidR="00D071CB" w:rsidRDefault="00D071CB" w:rsidP="00D071CB">
      <w:r>
        <w:t>*includes expenditures from book sales, trust accounts and grants</w:t>
      </w:r>
    </w:p>
    <w:p w:rsidR="005D0D7F" w:rsidRDefault="005D0D7F" w:rsidP="005D0D7F">
      <w:pPr>
        <w:pStyle w:val="Heading1"/>
      </w:pPr>
      <w:r>
        <w:t>Donors and Grants</w:t>
      </w:r>
    </w:p>
    <w:p w:rsidR="005D0D7F" w:rsidRDefault="005D0D7F" w:rsidP="005D0D7F">
      <w:r>
        <w:t>The Library wishes to thank the following people and organizations for their generous contributions in 2019.</w:t>
      </w:r>
    </w:p>
    <w:p w:rsidR="005D0D7F" w:rsidRDefault="005D0D7F" w:rsidP="005D0D7F">
      <w:pPr>
        <w:pStyle w:val="NoSpacing"/>
      </w:pPr>
      <w:r>
        <w:t>Trish Allison-Simms</w:t>
      </w:r>
    </w:p>
    <w:p w:rsidR="005D0D7F" w:rsidRDefault="005D0D7F" w:rsidP="005D0D7F">
      <w:pPr>
        <w:pStyle w:val="NoSpacing"/>
      </w:pPr>
      <w:r>
        <w:t>Peter Attwood</w:t>
      </w:r>
    </w:p>
    <w:p w:rsidR="005D0D7F" w:rsidRDefault="005D0D7F" w:rsidP="005D0D7F">
      <w:pPr>
        <w:pStyle w:val="NoSpacing"/>
      </w:pPr>
      <w:r>
        <w:t>Marilyn Baker</w:t>
      </w:r>
    </w:p>
    <w:p w:rsidR="005D0D7F" w:rsidRPr="005D0D7F" w:rsidRDefault="005D0D7F" w:rsidP="005D0D7F">
      <w:pPr>
        <w:pStyle w:val="NoSpacing"/>
        <w:rPr>
          <w:lang w:val="fr-CA"/>
        </w:rPr>
      </w:pPr>
      <w:r w:rsidRPr="005D0D7F">
        <w:rPr>
          <w:lang w:val="fr-CA"/>
        </w:rPr>
        <w:t>James Beaulieu</w:t>
      </w:r>
    </w:p>
    <w:p w:rsidR="005D0D7F" w:rsidRPr="005D0D7F" w:rsidRDefault="005D0D7F" w:rsidP="005D0D7F">
      <w:pPr>
        <w:pStyle w:val="NoSpacing"/>
        <w:rPr>
          <w:lang w:val="fr-CA"/>
        </w:rPr>
      </w:pPr>
      <w:r w:rsidRPr="005D0D7F">
        <w:rPr>
          <w:lang w:val="fr-CA"/>
        </w:rPr>
        <w:t>Dr. L. A. Black</w:t>
      </w:r>
    </w:p>
    <w:p w:rsidR="005D0D7F" w:rsidRDefault="005D0D7F" w:rsidP="005D0D7F">
      <w:pPr>
        <w:pStyle w:val="NoSpacing"/>
      </w:pPr>
      <w:r>
        <w:t>Teri Cheung</w:t>
      </w:r>
    </w:p>
    <w:p w:rsidR="005D0D7F" w:rsidRDefault="005D0D7F" w:rsidP="005D0D7F">
      <w:pPr>
        <w:pStyle w:val="NoSpacing"/>
      </w:pPr>
      <w:r>
        <w:t>Confidence Rebekah Lodge NO.40</w:t>
      </w:r>
    </w:p>
    <w:p w:rsidR="005D0D7F" w:rsidRDefault="005D0D7F" w:rsidP="005D0D7F">
      <w:pPr>
        <w:pStyle w:val="NoSpacing"/>
      </w:pPr>
      <w:r>
        <w:t>Shannon Corbett</w:t>
      </w:r>
    </w:p>
    <w:p w:rsidR="005D0D7F" w:rsidRDefault="005D0D7F" w:rsidP="005D0D7F">
      <w:pPr>
        <w:pStyle w:val="NoSpacing"/>
      </w:pPr>
      <w:proofErr w:type="spellStart"/>
      <w:r>
        <w:t>Helle</w:t>
      </w:r>
      <w:proofErr w:type="spellEnd"/>
      <w:r>
        <w:t xml:space="preserve"> Cosby</w:t>
      </w:r>
    </w:p>
    <w:p w:rsidR="005D0D7F" w:rsidRDefault="005D0D7F" w:rsidP="005D0D7F">
      <w:pPr>
        <w:pStyle w:val="NoSpacing"/>
      </w:pPr>
      <w:r>
        <w:t xml:space="preserve">Nicole </w:t>
      </w:r>
      <w:proofErr w:type="spellStart"/>
      <w:r>
        <w:t>Denboer</w:t>
      </w:r>
      <w:proofErr w:type="spellEnd"/>
    </w:p>
    <w:p w:rsidR="005D0D7F" w:rsidRDefault="005D0D7F" w:rsidP="005D0D7F">
      <w:pPr>
        <w:pStyle w:val="NoSpacing"/>
      </w:pPr>
      <w:r>
        <w:t>Arlene Erickson</w:t>
      </w:r>
    </w:p>
    <w:p w:rsidR="005D0D7F" w:rsidRDefault="005D0D7F" w:rsidP="005D0D7F">
      <w:pPr>
        <w:pStyle w:val="NoSpacing"/>
      </w:pPr>
      <w:r>
        <w:t xml:space="preserve">Louise </w:t>
      </w:r>
      <w:proofErr w:type="spellStart"/>
      <w:r>
        <w:t>Fileccia</w:t>
      </w:r>
      <w:proofErr w:type="spellEnd"/>
    </w:p>
    <w:p w:rsidR="005D0D7F" w:rsidRDefault="005D0D7F" w:rsidP="005D0D7F">
      <w:pPr>
        <w:pStyle w:val="NoSpacing"/>
      </w:pPr>
      <w:r>
        <w:t>Friends of the Winnipeg Public Library</w:t>
      </w:r>
    </w:p>
    <w:p w:rsidR="005D0D7F" w:rsidRDefault="005D0D7F" w:rsidP="005D0D7F">
      <w:pPr>
        <w:pStyle w:val="NoSpacing"/>
      </w:pPr>
      <w:r>
        <w:lastRenderedPageBreak/>
        <w:t xml:space="preserve">Sheila </w:t>
      </w:r>
      <w:proofErr w:type="spellStart"/>
      <w:r>
        <w:t>Gouriluk</w:t>
      </w:r>
      <w:proofErr w:type="spellEnd"/>
    </w:p>
    <w:p w:rsidR="005D0D7F" w:rsidRDefault="005D0D7F" w:rsidP="005D0D7F">
      <w:pPr>
        <w:pStyle w:val="NoSpacing"/>
      </w:pPr>
      <w:r>
        <w:t>Heather Graham</w:t>
      </w:r>
    </w:p>
    <w:p w:rsidR="005D0D7F" w:rsidRDefault="005D0D7F" w:rsidP="005D0D7F">
      <w:pPr>
        <w:pStyle w:val="NoSpacing"/>
      </w:pPr>
      <w:r>
        <w:t>Pearl Greenaway</w:t>
      </w:r>
    </w:p>
    <w:p w:rsidR="005D0D7F" w:rsidRPr="005D0D7F" w:rsidRDefault="005D0D7F" w:rsidP="005D0D7F">
      <w:pPr>
        <w:pStyle w:val="NoSpacing"/>
        <w:rPr>
          <w:lang w:val="fr-CA"/>
        </w:rPr>
      </w:pPr>
      <w:r w:rsidRPr="005D0D7F">
        <w:rPr>
          <w:lang w:val="fr-CA"/>
        </w:rPr>
        <w:t>Leslie Hanson</w:t>
      </w:r>
    </w:p>
    <w:p w:rsidR="005D0D7F" w:rsidRPr="005D0D7F" w:rsidRDefault="005D0D7F" w:rsidP="005D0D7F">
      <w:pPr>
        <w:pStyle w:val="NoSpacing"/>
        <w:rPr>
          <w:lang w:val="fr-CA"/>
        </w:rPr>
      </w:pPr>
      <w:r w:rsidRPr="005D0D7F">
        <w:rPr>
          <w:lang w:val="fr-CA"/>
        </w:rPr>
        <w:t>Marlene Hanson</w:t>
      </w:r>
    </w:p>
    <w:p w:rsidR="005D0D7F" w:rsidRPr="005D0D7F" w:rsidRDefault="005D0D7F" w:rsidP="005D0D7F">
      <w:pPr>
        <w:pStyle w:val="NoSpacing"/>
        <w:rPr>
          <w:lang w:val="fr-CA"/>
        </w:rPr>
      </w:pPr>
      <w:r w:rsidRPr="005D0D7F">
        <w:rPr>
          <w:lang w:val="fr-CA"/>
        </w:rPr>
        <w:t xml:space="preserve">Denis </w:t>
      </w:r>
      <w:proofErr w:type="spellStart"/>
      <w:r w:rsidRPr="005D0D7F">
        <w:rPr>
          <w:lang w:val="fr-CA"/>
        </w:rPr>
        <w:t>Hlynka</w:t>
      </w:r>
      <w:proofErr w:type="spellEnd"/>
    </w:p>
    <w:p w:rsidR="005D0D7F" w:rsidRDefault="005D0D7F" w:rsidP="005D0D7F">
      <w:pPr>
        <w:pStyle w:val="NoSpacing"/>
      </w:pPr>
      <w:r>
        <w:t>Sally Hogg</w:t>
      </w:r>
    </w:p>
    <w:p w:rsidR="005D0D7F" w:rsidRDefault="005D0D7F" w:rsidP="005D0D7F">
      <w:pPr>
        <w:pStyle w:val="NoSpacing"/>
      </w:pPr>
      <w:r>
        <w:t xml:space="preserve">Onkar S. </w:t>
      </w:r>
      <w:proofErr w:type="spellStart"/>
      <w:r>
        <w:t>Hundal</w:t>
      </w:r>
      <w:proofErr w:type="spellEnd"/>
    </w:p>
    <w:p w:rsidR="005D0D7F" w:rsidRDefault="005D0D7F" w:rsidP="005D0D7F">
      <w:pPr>
        <w:pStyle w:val="NoSpacing"/>
      </w:pPr>
      <w:r>
        <w:t>Institute of Corporate Directors Interdimensional Pictures Inc.</w:t>
      </w:r>
    </w:p>
    <w:p w:rsidR="005D0D7F" w:rsidRDefault="005D0D7F" w:rsidP="005D0D7F">
      <w:pPr>
        <w:pStyle w:val="NoSpacing"/>
      </w:pPr>
      <w:r>
        <w:t>Sylvia Kohn</w:t>
      </w:r>
    </w:p>
    <w:p w:rsidR="005D0D7F" w:rsidRDefault="005D0D7F" w:rsidP="005D0D7F">
      <w:pPr>
        <w:pStyle w:val="NoSpacing"/>
      </w:pPr>
      <w:r>
        <w:t xml:space="preserve">Candace </w:t>
      </w:r>
      <w:proofErr w:type="spellStart"/>
      <w:r>
        <w:t>Kosack</w:t>
      </w:r>
      <w:proofErr w:type="spellEnd"/>
      <w:r>
        <w:t xml:space="preserve"> </w:t>
      </w:r>
    </w:p>
    <w:p w:rsidR="005D0D7F" w:rsidRDefault="005D0D7F" w:rsidP="005D0D7F">
      <w:pPr>
        <w:pStyle w:val="NoSpacing"/>
      </w:pPr>
      <w:r>
        <w:t xml:space="preserve">Christine </w:t>
      </w:r>
      <w:proofErr w:type="spellStart"/>
      <w:r>
        <w:t>Krychuk</w:t>
      </w:r>
      <w:proofErr w:type="spellEnd"/>
    </w:p>
    <w:p w:rsidR="005D0D7F" w:rsidRDefault="005D0D7F" w:rsidP="005D0D7F">
      <w:pPr>
        <w:pStyle w:val="NoSpacing"/>
      </w:pPr>
      <w:r>
        <w:t>Beverly D. Kyle</w:t>
      </w:r>
    </w:p>
    <w:p w:rsidR="005D0D7F" w:rsidRDefault="005D0D7F" w:rsidP="005D0D7F">
      <w:pPr>
        <w:pStyle w:val="NoSpacing"/>
      </w:pPr>
      <w:r>
        <w:t>Linda Lauren</w:t>
      </w:r>
    </w:p>
    <w:p w:rsidR="005D0D7F" w:rsidRDefault="005D0D7F" w:rsidP="005D0D7F">
      <w:pPr>
        <w:pStyle w:val="NoSpacing"/>
      </w:pPr>
      <w:r>
        <w:t>Donald Letters</w:t>
      </w:r>
    </w:p>
    <w:p w:rsidR="005D0D7F" w:rsidRDefault="005D0D7F" w:rsidP="005D0D7F">
      <w:pPr>
        <w:pStyle w:val="NoSpacing"/>
      </w:pPr>
      <w:r>
        <w:t>M.C. Little</w:t>
      </w:r>
    </w:p>
    <w:p w:rsidR="005D0D7F" w:rsidRDefault="005D0D7F" w:rsidP="005D0D7F">
      <w:pPr>
        <w:pStyle w:val="NoSpacing"/>
      </w:pPr>
      <w:r>
        <w:t xml:space="preserve">Howard </w:t>
      </w:r>
      <w:proofErr w:type="spellStart"/>
      <w:r>
        <w:t>Mandshein</w:t>
      </w:r>
      <w:proofErr w:type="spellEnd"/>
    </w:p>
    <w:p w:rsidR="005D0D7F" w:rsidRDefault="005D0D7F" w:rsidP="005D0D7F">
      <w:pPr>
        <w:pStyle w:val="NoSpacing"/>
      </w:pPr>
      <w:r>
        <w:t xml:space="preserve">Iris </w:t>
      </w:r>
      <w:proofErr w:type="spellStart"/>
      <w:r>
        <w:t>McCrie</w:t>
      </w:r>
      <w:proofErr w:type="spellEnd"/>
    </w:p>
    <w:p w:rsidR="005D0D7F" w:rsidRDefault="005D0D7F" w:rsidP="005D0D7F">
      <w:pPr>
        <w:pStyle w:val="NoSpacing"/>
      </w:pPr>
      <w:r>
        <w:t>Linda Moore</w:t>
      </w:r>
    </w:p>
    <w:p w:rsidR="005D0D7F" w:rsidRDefault="005D0D7F" w:rsidP="005D0D7F">
      <w:pPr>
        <w:pStyle w:val="NoSpacing"/>
      </w:pPr>
      <w:r>
        <w:t xml:space="preserve">Walter </w:t>
      </w:r>
      <w:proofErr w:type="spellStart"/>
      <w:r>
        <w:t>Mostoway</w:t>
      </w:r>
      <w:proofErr w:type="spellEnd"/>
    </w:p>
    <w:p w:rsidR="005D0D7F" w:rsidRDefault="005D0D7F" w:rsidP="005D0D7F">
      <w:pPr>
        <w:pStyle w:val="NoSpacing"/>
      </w:pPr>
      <w:r>
        <w:t xml:space="preserve">Terry </w:t>
      </w:r>
      <w:proofErr w:type="spellStart"/>
      <w:r>
        <w:t>Muzychuk</w:t>
      </w:r>
      <w:proofErr w:type="spellEnd"/>
    </w:p>
    <w:p w:rsidR="005D0D7F" w:rsidRDefault="005D0D7F" w:rsidP="005D0D7F">
      <w:pPr>
        <w:pStyle w:val="NoSpacing"/>
      </w:pPr>
      <w:r>
        <w:t xml:space="preserve">Valerie </w:t>
      </w:r>
      <w:proofErr w:type="spellStart"/>
      <w:r>
        <w:t>Neilsen</w:t>
      </w:r>
      <w:proofErr w:type="spellEnd"/>
    </w:p>
    <w:p w:rsidR="005D0D7F" w:rsidRDefault="005D0D7F" w:rsidP="005D0D7F">
      <w:pPr>
        <w:pStyle w:val="NoSpacing"/>
      </w:pPr>
      <w:r>
        <w:t xml:space="preserve">Hertha Neufeld </w:t>
      </w:r>
    </w:p>
    <w:p w:rsidR="005D0D7F" w:rsidRDefault="005D0D7F" w:rsidP="005D0D7F">
      <w:pPr>
        <w:pStyle w:val="NoSpacing"/>
      </w:pPr>
      <w:r>
        <w:t>Bettina Nyman</w:t>
      </w:r>
    </w:p>
    <w:p w:rsidR="005D0D7F" w:rsidRDefault="005D0D7F" w:rsidP="005D0D7F">
      <w:pPr>
        <w:pStyle w:val="NoSpacing"/>
      </w:pPr>
      <w:r>
        <w:t>Province of Manitoba</w:t>
      </w:r>
    </w:p>
    <w:p w:rsidR="005D0D7F" w:rsidRDefault="005D0D7F" w:rsidP="005D0D7F">
      <w:pPr>
        <w:pStyle w:val="NoSpacing"/>
      </w:pPr>
      <w:r>
        <w:t>Celia Rodd and Atul Sharma</w:t>
      </w:r>
    </w:p>
    <w:p w:rsidR="005D0D7F" w:rsidRDefault="005D0D7F" w:rsidP="005D0D7F">
      <w:pPr>
        <w:pStyle w:val="NoSpacing"/>
      </w:pPr>
      <w:r>
        <w:t>Ruth Schellenberg</w:t>
      </w:r>
    </w:p>
    <w:p w:rsidR="005D0D7F" w:rsidRDefault="005D0D7F" w:rsidP="005D0D7F">
      <w:pPr>
        <w:pStyle w:val="NoSpacing"/>
      </w:pPr>
      <w:r>
        <w:t>Deborah Seguin</w:t>
      </w:r>
    </w:p>
    <w:p w:rsidR="005D0D7F" w:rsidRDefault="005D0D7F" w:rsidP="005D0D7F">
      <w:pPr>
        <w:pStyle w:val="NoSpacing"/>
      </w:pPr>
      <w:r>
        <w:t xml:space="preserve">Dr. L.H. </w:t>
      </w:r>
      <w:proofErr w:type="spellStart"/>
      <w:r>
        <w:t>Sekla</w:t>
      </w:r>
      <w:proofErr w:type="spellEnd"/>
      <w:r>
        <w:t>-Farag</w:t>
      </w:r>
    </w:p>
    <w:p w:rsidR="005D0D7F" w:rsidRDefault="005D0D7F" w:rsidP="005D0D7F">
      <w:pPr>
        <w:pStyle w:val="NoSpacing"/>
      </w:pPr>
      <w:r>
        <w:t>Brian Shaw</w:t>
      </w:r>
    </w:p>
    <w:p w:rsidR="005D0D7F" w:rsidRDefault="005D0D7F" w:rsidP="005D0D7F">
      <w:pPr>
        <w:pStyle w:val="NoSpacing"/>
      </w:pPr>
      <w:r>
        <w:t>Louise Sloane</w:t>
      </w:r>
    </w:p>
    <w:p w:rsidR="005D0D7F" w:rsidRDefault="005D0D7F" w:rsidP="005D0D7F">
      <w:pPr>
        <w:pStyle w:val="NoSpacing"/>
      </w:pPr>
      <w:r>
        <w:t>Joan Steels</w:t>
      </w:r>
    </w:p>
    <w:p w:rsidR="005D0D7F" w:rsidRDefault="005D0D7F" w:rsidP="005D0D7F">
      <w:pPr>
        <w:pStyle w:val="NoSpacing"/>
      </w:pPr>
      <w:r>
        <w:t>Maureen Steinfeld</w:t>
      </w:r>
    </w:p>
    <w:p w:rsidR="005D0D7F" w:rsidRDefault="005D0D7F" w:rsidP="005D0D7F">
      <w:pPr>
        <w:pStyle w:val="NoSpacing"/>
      </w:pPr>
      <w:r>
        <w:t xml:space="preserve">Rosalyn </w:t>
      </w:r>
      <w:proofErr w:type="spellStart"/>
      <w:r>
        <w:t>Sutley</w:t>
      </w:r>
      <w:proofErr w:type="spellEnd"/>
    </w:p>
    <w:p w:rsidR="005D0D7F" w:rsidRDefault="005D0D7F" w:rsidP="005D0D7F">
      <w:pPr>
        <w:pStyle w:val="NoSpacing"/>
      </w:pPr>
      <w:r>
        <w:t xml:space="preserve">Mary A. </w:t>
      </w:r>
      <w:proofErr w:type="spellStart"/>
      <w:r>
        <w:t>Turnock</w:t>
      </w:r>
      <w:proofErr w:type="spellEnd"/>
    </w:p>
    <w:p w:rsidR="005D0D7F" w:rsidRDefault="005D0D7F" w:rsidP="005D0D7F">
      <w:pPr>
        <w:pStyle w:val="NoSpacing"/>
      </w:pPr>
      <w:r>
        <w:t>Hannelore Weber</w:t>
      </w:r>
    </w:p>
    <w:p w:rsidR="005D0D7F" w:rsidRDefault="005D0D7F" w:rsidP="005D0D7F">
      <w:pPr>
        <w:pStyle w:val="NoSpacing"/>
      </w:pPr>
      <w:r>
        <w:t>The Winnipeg Foundation Literacy for Life Fund</w:t>
      </w:r>
    </w:p>
    <w:p w:rsidR="005D0D7F" w:rsidRDefault="005D0D7F" w:rsidP="005D0D7F">
      <w:pPr>
        <w:pStyle w:val="NoSpacing"/>
        <w:ind w:left="720"/>
      </w:pPr>
      <w:r>
        <w:t>Margaret M. Webster Memorial Fund</w:t>
      </w:r>
    </w:p>
    <w:p w:rsidR="005D0D7F" w:rsidRDefault="005D0D7F" w:rsidP="005D0D7F">
      <w:pPr>
        <w:pStyle w:val="NoSpacing"/>
        <w:ind w:left="720"/>
      </w:pPr>
      <w:r>
        <w:t xml:space="preserve">Nancy </w:t>
      </w:r>
      <w:proofErr w:type="spellStart"/>
      <w:r>
        <w:t>Turriff</w:t>
      </w:r>
      <w:proofErr w:type="spellEnd"/>
      <w:r>
        <w:t xml:space="preserve"> and Jeanne Allen Fund</w:t>
      </w:r>
    </w:p>
    <w:p w:rsidR="005D0D7F" w:rsidRDefault="005D0D7F" w:rsidP="005D0D7F">
      <w:pPr>
        <w:pStyle w:val="NoSpacing"/>
        <w:ind w:left="720"/>
      </w:pPr>
      <w:r>
        <w:t>Robert Clague Memorial Fund</w:t>
      </w:r>
    </w:p>
    <w:p w:rsidR="005D0D7F" w:rsidRDefault="005D0D7F" w:rsidP="005D0D7F">
      <w:pPr>
        <w:pStyle w:val="NoSpacing"/>
      </w:pPr>
      <w:r>
        <w:lastRenderedPageBreak/>
        <w:t>Winnipeg Public Library Board</w:t>
      </w:r>
    </w:p>
    <w:p w:rsidR="005D0D7F" w:rsidRDefault="005D0D7F" w:rsidP="005D0D7F">
      <w:pPr>
        <w:pStyle w:val="NoSpacing"/>
      </w:pPr>
      <w:r>
        <w:t>Library Advisory Committees</w:t>
      </w:r>
    </w:p>
    <w:p w:rsidR="005D0D7F" w:rsidRDefault="005D0D7F" w:rsidP="005D0D7F">
      <w:pPr>
        <w:pStyle w:val="NoSpacing"/>
      </w:pPr>
      <w:r>
        <w:t xml:space="preserve">Tessa </w:t>
      </w:r>
      <w:proofErr w:type="spellStart"/>
      <w:r>
        <w:t>Wiwchar</w:t>
      </w:r>
      <w:proofErr w:type="spellEnd"/>
    </w:p>
    <w:p w:rsidR="005D0D7F" w:rsidRDefault="005D0D7F" w:rsidP="005D0D7F">
      <w:r>
        <w:t>Brian Wood</w:t>
      </w:r>
    </w:p>
    <w:p w:rsidR="005D0D7F" w:rsidRDefault="005D0D7F" w:rsidP="005D0D7F">
      <w:pPr>
        <w:pStyle w:val="Heading1"/>
      </w:pPr>
      <w:r>
        <w:t>Contact</w:t>
      </w:r>
    </w:p>
    <w:p w:rsidR="005D0D7F" w:rsidRPr="005D0D7F" w:rsidRDefault="005D0D7F" w:rsidP="005D0D7F">
      <w:pPr>
        <w:pStyle w:val="NoSpacing"/>
        <w:rPr>
          <w:b/>
        </w:rPr>
      </w:pPr>
      <w:r w:rsidRPr="005D0D7F">
        <w:rPr>
          <w:b/>
        </w:rPr>
        <w:t>Winnipeg Public Library</w:t>
      </w:r>
    </w:p>
    <w:p w:rsidR="005D0D7F" w:rsidRPr="005D0D7F" w:rsidRDefault="005D0D7F" w:rsidP="005D0D7F">
      <w:pPr>
        <w:pStyle w:val="NoSpacing"/>
      </w:pPr>
      <w:r w:rsidRPr="005D0D7F">
        <w:t>251 Donald Street</w:t>
      </w:r>
    </w:p>
    <w:p w:rsidR="005D0D7F" w:rsidRPr="005D0D7F" w:rsidRDefault="005D0D7F" w:rsidP="005D0D7F">
      <w:pPr>
        <w:pStyle w:val="NoSpacing"/>
      </w:pPr>
      <w:r w:rsidRPr="005D0D7F">
        <w:t>Winnipeg, Manitoba</w:t>
      </w:r>
    </w:p>
    <w:p w:rsidR="005D0D7F" w:rsidRPr="005D0D7F" w:rsidRDefault="005D0D7F" w:rsidP="005D0D7F">
      <w:pPr>
        <w:pStyle w:val="NoSpacing"/>
      </w:pPr>
      <w:r w:rsidRPr="005D0D7F">
        <w:t>R3C 3P5</w:t>
      </w:r>
    </w:p>
    <w:p w:rsidR="005D0D7F" w:rsidRPr="005D0D7F" w:rsidRDefault="005D0D7F" w:rsidP="005D0D7F">
      <w:pPr>
        <w:pStyle w:val="NoSpacing"/>
      </w:pPr>
      <w:r w:rsidRPr="005D0D7F">
        <w:t>winnipeg.ca/library</w:t>
      </w:r>
    </w:p>
    <w:p w:rsidR="005D0D7F" w:rsidRPr="005D0D7F" w:rsidRDefault="005D0D7F" w:rsidP="005D0D7F">
      <w:pPr>
        <w:pStyle w:val="NoSpacing"/>
      </w:pPr>
      <w:proofErr w:type="spellStart"/>
      <w:r w:rsidRPr="005D0D7F">
        <w:t>facebook</w:t>
      </w:r>
      <w:proofErr w:type="spellEnd"/>
      <w:r w:rsidRPr="005D0D7F">
        <w:t xml:space="preserve">: </w:t>
      </w:r>
      <w:proofErr w:type="spellStart"/>
      <w:r w:rsidRPr="005D0D7F">
        <w:t>winnipegpubliclibrary</w:t>
      </w:r>
      <w:proofErr w:type="spellEnd"/>
      <w:r w:rsidRPr="005D0D7F">
        <w:t xml:space="preserve"> </w:t>
      </w:r>
    </w:p>
    <w:p w:rsidR="005D0D7F" w:rsidRPr="005D0D7F" w:rsidRDefault="005D0D7F" w:rsidP="005D0D7F">
      <w:pPr>
        <w:pStyle w:val="NoSpacing"/>
      </w:pPr>
      <w:r w:rsidRPr="005D0D7F">
        <w:t>twitter: @</w:t>
      </w:r>
      <w:proofErr w:type="spellStart"/>
      <w:r w:rsidRPr="005D0D7F">
        <w:t>wpglibrary</w:t>
      </w:r>
      <w:proofErr w:type="spellEnd"/>
    </w:p>
    <w:p w:rsidR="004E16AB" w:rsidRPr="005D0D7F" w:rsidRDefault="005D0D7F" w:rsidP="005D0D7F">
      <w:pPr>
        <w:pStyle w:val="NoSpacing"/>
      </w:pPr>
      <w:r w:rsidRPr="005D0D7F">
        <w:t xml:space="preserve">Instagram: </w:t>
      </w:r>
      <w:proofErr w:type="spellStart"/>
      <w:r w:rsidRPr="005D0D7F">
        <w:t>winnipegpubliclibrary</w:t>
      </w:r>
      <w:proofErr w:type="spellEnd"/>
    </w:p>
    <w:sectPr w:rsidR="004E16AB" w:rsidRPr="005D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982"/>
    <w:multiLevelType w:val="hybridMultilevel"/>
    <w:tmpl w:val="C9D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1194"/>
    <w:rsid w:val="00051A97"/>
    <w:rsid w:val="001C3420"/>
    <w:rsid w:val="001D3A61"/>
    <w:rsid w:val="0036607E"/>
    <w:rsid w:val="003D1194"/>
    <w:rsid w:val="004E16AB"/>
    <w:rsid w:val="005D0D7F"/>
    <w:rsid w:val="009F1C4E"/>
    <w:rsid w:val="00A707CD"/>
    <w:rsid w:val="00AB4F75"/>
    <w:rsid w:val="00BA3E3F"/>
    <w:rsid w:val="00D071CB"/>
    <w:rsid w:val="00E500DC"/>
    <w:rsid w:val="00E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B3B3-028D-40C6-8B35-8D74E3B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A61"/>
    <w:rPr>
      <w:sz w:val="28"/>
    </w:rPr>
  </w:style>
  <w:style w:type="paragraph" w:styleId="Heading1">
    <w:name w:val="heading 1"/>
    <w:basedOn w:val="Normal"/>
    <w:next w:val="Normal"/>
    <w:link w:val="Heading1Char"/>
    <w:uiPriority w:val="9"/>
    <w:qFormat/>
    <w:rsid w:val="00E84348"/>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4348"/>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E84348"/>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E84348"/>
    <w:rPr>
      <w:rFonts w:ascii="Minion Pro" w:hAnsi="Minion Pro" w:cs="Minion Pro"/>
      <w:color w:val="000000"/>
      <w:sz w:val="28"/>
      <w:szCs w:val="28"/>
    </w:rPr>
  </w:style>
  <w:style w:type="character" w:customStyle="1" w:styleId="Heading1Char">
    <w:name w:val="Heading 1 Char"/>
    <w:basedOn w:val="DefaultParagraphFont"/>
    <w:link w:val="Heading1"/>
    <w:uiPriority w:val="9"/>
    <w:rsid w:val="00E8434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84348"/>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1D3A61"/>
    <w:pPr>
      <w:spacing w:after="300" w:line="240" w:lineRule="auto"/>
      <w:contextualSpacing/>
    </w:pPr>
    <w:rPr>
      <w:rFonts w:asciiTheme="majorHAnsi" w:eastAsiaTheme="majorEastAsia" w:hAnsiTheme="majorHAnsi" w:cstheme="majorBidi"/>
      <w:b/>
      <w:caps/>
      <w:color w:val="000000" w:themeColor="text1"/>
      <w:spacing w:val="5"/>
      <w:kern w:val="28"/>
      <w:sz w:val="40"/>
      <w:szCs w:val="52"/>
    </w:rPr>
  </w:style>
  <w:style w:type="character" w:customStyle="1" w:styleId="TitleChar">
    <w:name w:val="Title Char"/>
    <w:basedOn w:val="DefaultParagraphFont"/>
    <w:link w:val="Title"/>
    <w:uiPriority w:val="10"/>
    <w:rsid w:val="001D3A61"/>
    <w:rPr>
      <w:rFonts w:asciiTheme="majorHAnsi" w:eastAsiaTheme="majorEastAsia" w:hAnsiTheme="majorHAnsi" w:cstheme="majorBidi"/>
      <w:b/>
      <w:caps/>
      <w:color w:val="000000" w:themeColor="text1"/>
      <w:spacing w:val="5"/>
      <w:kern w:val="28"/>
      <w:sz w:val="40"/>
      <w:szCs w:val="52"/>
    </w:rPr>
  </w:style>
  <w:style w:type="paragraph" w:styleId="Subtitle">
    <w:name w:val="Subtitle"/>
    <w:basedOn w:val="Normal"/>
    <w:next w:val="Normal"/>
    <w:link w:val="SubtitleChar"/>
    <w:uiPriority w:val="11"/>
    <w:qFormat/>
    <w:rsid w:val="00E84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4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84348"/>
    <w:pPr>
      <w:spacing w:after="0" w:line="240" w:lineRule="auto"/>
    </w:pPr>
    <w:rPr>
      <w:sz w:val="28"/>
    </w:rPr>
  </w:style>
  <w:style w:type="paragraph" w:styleId="ListParagraph">
    <w:name w:val="List Paragraph"/>
    <w:basedOn w:val="Normal"/>
    <w:uiPriority w:val="34"/>
    <w:qFormat/>
    <w:rsid w:val="00E84348"/>
    <w:pPr>
      <w:spacing w:after="0" w:line="240" w:lineRule="auto"/>
      <w:ind w:left="720"/>
      <w:contextualSpacing/>
    </w:pPr>
    <w:rPr>
      <w:rFonts w:eastAsiaTheme="minorEastAsia"/>
      <w:sz w:val="24"/>
      <w:szCs w:val="24"/>
    </w:rPr>
  </w:style>
  <w:style w:type="paragraph" w:customStyle="1" w:styleId="infoitems">
    <w:name w:val="infoitems"/>
    <w:basedOn w:val="Normal"/>
    <w:uiPriority w:val="99"/>
    <w:rsid w:val="003D1194"/>
    <w:pPr>
      <w:suppressAutoHyphens/>
      <w:autoSpaceDE w:val="0"/>
      <w:autoSpaceDN w:val="0"/>
      <w:adjustRightInd w:val="0"/>
      <w:spacing w:after="0" w:line="288" w:lineRule="auto"/>
      <w:textAlignment w:val="center"/>
    </w:pPr>
    <w:rPr>
      <w:rFonts w:ascii="Source Sans Pro" w:hAnsi="Source Sans Pro" w:cs="Source Sans Pro"/>
      <w:b/>
      <w:bCs/>
      <w:color w:val="FFFFFF"/>
      <w:sz w:val="24"/>
      <w:szCs w:val="24"/>
    </w:rPr>
  </w:style>
  <w:style w:type="paragraph" w:customStyle="1" w:styleId="covercopy">
    <w:name w:val="cover copy"/>
    <w:basedOn w:val="Normal"/>
    <w:uiPriority w:val="99"/>
    <w:rsid w:val="003D1194"/>
    <w:pPr>
      <w:suppressAutoHyphens/>
      <w:autoSpaceDE w:val="0"/>
      <w:autoSpaceDN w:val="0"/>
      <w:adjustRightInd w:val="0"/>
      <w:spacing w:before="90" w:after="0" w:line="260" w:lineRule="atLeast"/>
      <w:textAlignment w:val="center"/>
    </w:pPr>
    <w:rPr>
      <w:rFonts w:ascii="Source Sans Pro" w:hAnsi="Source Sans Pro" w:cs="Source Sans Pro"/>
      <w:color w:val="000000"/>
      <w:sz w:val="20"/>
      <w:szCs w:val="20"/>
    </w:rPr>
  </w:style>
  <w:style w:type="paragraph" w:customStyle="1" w:styleId="BasicParagraph">
    <w:name w:val="[Basic Paragraph]"/>
    <w:basedOn w:val="Normal"/>
    <w:uiPriority w:val="99"/>
    <w:rsid w:val="00BA3E3F"/>
    <w:pPr>
      <w:suppressAutoHyphens/>
      <w:autoSpaceDE w:val="0"/>
      <w:autoSpaceDN w:val="0"/>
      <w:adjustRightInd w:val="0"/>
      <w:spacing w:after="0" w:line="288" w:lineRule="auto"/>
      <w:textAlignment w:val="center"/>
    </w:pPr>
    <w:rPr>
      <w:rFonts w:ascii="Source Sans Pro" w:hAnsi="Source Sans Pro" w:cs="Source Sans Pro"/>
      <w:color w:val="000000"/>
      <w:sz w:val="20"/>
      <w:szCs w:val="20"/>
    </w:rPr>
  </w:style>
  <w:style w:type="table" w:styleId="TableGrid">
    <w:name w:val="Table Grid"/>
    <w:basedOn w:val="TableNormal"/>
    <w:uiPriority w:val="59"/>
    <w:rsid w:val="00D0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Winnipeg</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Galagan, Sherry</dc:creator>
  <cp:keywords/>
  <dc:description/>
  <cp:lastModifiedBy>Galagan, Sherry</cp:lastModifiedBy>
  <cp:revision>2</cp:revision>
  <dcterms:created xsi:type="dcterms:W3CDTF">2020-12-10T17:02:00Z</dcterms:created>
  <dcterms:modified xsi:type="dcterms:W3CDTF">2020-12-10T17:02:00Z</dcterms:modified>
</cp:coreProperties>
</file>